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CAROLINA PÉREZ TAVERA</w:t>
      </w:r>
    </w:p>
    <w:p>
      <w:pPr>
        <w:pStyle w:val="Normal"/>
        <w:spacing w:lineRule="auto" w:line="240"/>
        <w:jc w:val="both"/>
        <w:rPr/>
      </w:pPr>
      <w:r>
        <w:rPr>
          <w:rFonts w:cs="Arial" w:ascii="Arial" w:hAnsi="Arial"/>
        </w:rPr>
        <w:t xml:space="preserve">Cra. 4 </w:t>
      </w:r>
      <w:r>
        <w:rPr>
          <w:rFonts w:eastAsia="Arial Unicode MS" w:cs="Arial" w:ascii="Arial" w:hAnsi="Arial"/>
          <w:color w:val="auto"/>
          <w:kern w:val="2"/>
          <w:sz w:val="24"/>
          <w:szCs w:val="24"/>
          <w:lang w:val="es-CO" w:eastAsia="ar-SA" w:bidi="ar-SA"/>
        </w:rPr>
        <w:t>#</w:t>
      </w:r>
      <w:r>
        <w:rPr>
          <w:rFonts w:cs="Arial" w:ascii="Arial" w:hAnsi="Arial"/>
        </w:rPr>
        <w:t xml:space="preserve"> 71D-70 piso 1</w:t>
      </w:r>
    </w:p>
    <w:p>
      <w:pPr>
        <w:pStyle w:val="Normal"/>
        <w:spacing w:lineRule="auto" w:line="240"/>
        <w:jc w:val="both"/>
        <w:rPr/>
      </w:pPr>
      <w:r>
        <w:rPr>
          <w:rFonts w:cs="Arial" w:ascii="Arial" w:hAnsi="Arial"/>
        </w:rPr>
        <w:t>Jorge Eliecer Gaitán – Comuna 6</w:t>
      </w:r>
    </w:p>
    <w:p>
      <w:pPr>
        <w:pStyle w:val="Normal"/>
        <w:spacing w:lineRule="auto" w:line="240"/>
        <w:jc w:val="both"/>
        <w:rPr/>
      </w:pPr>
      <w:r>
        <w:rPr>
          <w:rFonts w:cs="Arial" w:ascii="Arial" w:hAnsi="Arial"/>
        </w:rPr>
        <w:t xml:space="preserve">carolinapereztavera@outlook.com  </w:t>
        <w:tab/>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Asunto: Respuesta a petición_realizar fumigación contra el zancudo.</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No.202541730100177632,</w:t>
      </w:r>
      <w:r>
        <w:rPr>
          <w:rFonts w:eastAsia="Arial" w:cs="Arial" w:ascii="Arial" w:hAnsi="Arial"/>
          <w:b w:val="false"/>
          <w:i w:val="false"/>
          <w:caps w:val="false"/>
          <w:smallCaps w:val="false"/>
          <w:strike w:val="false"/>
          <w:dstrike w:val="false"/>
          <w:color w:val="000000"/>
          <w:u w:val="none"/>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709"/>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C9211E"/>
          <w:sz w:val="24"/>
          <w:szCs w:val="24"/>
          <w:u w:val="none"/>
          <w:effect w:val="none"/>
          <w:shd w:fill="FFFFFF" w:val="clear"/>
          <w:em w:val="none"/>
          <w:lang w:bidi="ar-SA"/>
        </w:rPr>
      </w:pPr>
      <w:r>
        <w:rPr>
          <w:rFonts w:eastAsia="Arial Unicode MS" w:cs="Times New Roman" w:ascii="Arial" w:hAnsi="Arial"/>
          <w:b w:val="false"/>
          <w:i w:val="false"/>
          <w:caps w:val="false"/>
          <w:smallCaps w:val="false"/>
          <w:strike w:val="false"/>
          <w:dstrike w:val="false"/>
          <w:outline w:val="false"/>
          <w:shadow w:val="false"/>
          <w:color w:val="C9211E"/>
          <w:sz w:val="24"/>
          <w:szCs w:val="24"/>
          <w:u w:val="none"/>
          <w:effect w:val="none"/>
          <w:shd w:fill="FFFFFF" w:val="clear"/>
          <w:em w:val="none"/>
          <w:lang w:bidi="ar-SA"/>
        </w:rPr>
      </w:r>
    </w:p>
    <w:p>
      <w:pPr>
        <w:pStyle w:val="Normal"/>
        <w:tabs>
          <w:tab w:val="clear" w:pos="709"/>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De acuerdo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con lo anterior, se realizó fumigación con máquina pesada en la comuna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6 en el barrio Jorge Eliecer Gaitán –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Quintas de Salomia – Tejares de Salomia</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en el mes de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julio del 2024, donde se intervinieron 329</w:t>
      </w:r>
      <w:r>
        <w:rPr>
          <w:rFonts w:eastAsia="Arial Unicode MS" w:cs="Times New Roman" w:ascii="Arial" w:hAnsi="Arial"/>
          <w:b w:val="false"/>
          <w:bCs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manzanas y 16.152 casas</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xml:space="preserve">Sin embargo, la mejor manera de controlar la transmisión es evitar criaderos  del vector </w:t>
      </w:r>
      <w:r>
        <w:rPr>
          <w:rFonts w:eastAsia="Arial Unicode MS" w:cs="Times New Roman" w:ascii="Arial" w:hAnsi="Arial"/>
          <w:b w:val="false"/>
          <w:i/>
          <w:iCs/>
          <w:caps w:val="false"/>
          <w:smallCaps w:val="false"/>
          <w:strike w:val="false"/>
          <w:dstrike w:val="false"/>
          <w:color w:val="000000"/>
          <w:sz w:val="24"/>
          <w:szCs w:val="24"/>
          <w:u w:val="none"/>
          <w:effect w:val="none"/>
          <w:shd w:fill="FFFFFF" w:val="clear"/>
          <w:lang w:bidi="ar-SA"/>
        </w:rPr>
        <w:t>Aedes aegypti</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pues la fumigación solo actúa sobre los zancudos que tengan  contacto con el insecticida, pero si hay criaderos en la vivienda, es posible que al día  siguiente haya zancudos, nuevamente.</w:t>
      </w:r>
    </w:p>
    <w:p>
      <w:pPr>
        <w:pStyle w:val="Normal"/>
        <w:tabs>
          <w:tab w:val="clear" w:pos="709"/>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Además, d</w:t>
      </w:r>
      <w:r>
        <w:rPr>
          <w:rFonts w:ascii="Arial" w:hAnsi="Arial"/>
          <w:b w:val="false"/>
          <w:i w:val="false"/>
          <w:caps w:val="false"/>
          <w:smallCaps w:val="false"/>
          <w:strike w:val="false"/>
          <w:dstrike w:val="false"/>
          <w:color w:val="000000"/>
          <w:sz w:val="24"/>
          <w:u w:val="none"/>
          <w:effect w:val="none"/>
          <w:shd w:fill="auto" w:val="clear"/>
        </w:rPr>
        <w:t xml:space="preserve">entro de las acciones regulares de prevención de la </w:t>
      </w:r>
      <w:r>
        <w:rPr>
          <w:rFonts w:ascii="Arial" w:hAnsi="Arial"/>
          <w:b w:val="false"/>
          <w:i w:val="false"/>
          <w:caps w:val="false"/>
          <w:smallCaps w:val="false"/>
          <w:strike w:val="false"/>
          <w:dstrike w:val="false"/>
          <w:color w:val="000000"/>
          <w:sz w:val="24"/>
          <w:u w:val="none"/>
          <w:effect w:val="none"/>
          <w:shd w:fill="FFFFFF" w:val="clear"/>
        </w:rPr>
        <w:t>Secretaría de Salud del Distrito Especial de Santiago de Cali,</w:t>
      </w:r>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4"/>
          <w:u w:val="none"/>
          <w:effect w:val="none"/>
          <w:shd w:fill="auto" w:val="clear"/>
        </w:rPr>
        <w:t>se r</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ealizó</w:t>
      </w:r>
      <w:r>
        <w:rPr>
          <w:rFonts w:ascii="Arial" w:hAnsi="Arial"/>
          <w:b w:val="false"/>
          <w:i w:val="false"/>
          <w:caps w:val="false"/>
          <w:smallCaps w:val="false"/>
          <w:strike w:val="false"/>
          <w:dstrike w:val="false"/>
          <w:color w:val="000000"/>
          <w:sz w:val="24"/>
          <w:u w:val="none"/>
          <w:effect w:val="none"/>
          <w:shd w:fill="auto" w:val="clear"/>
        </w:rPr>
        <w:t xml:space="preserve"> un ciclo quincenal de control de larvas (revisión y aplicación larvicida) en sumideros recolectores de agua lluvia en vía pública, ya que este es un depósito óptimo para la reproducción de </w:t>
      </w:r>
      <w:r>
        <w:rPr>
          <w:rFonts w:ascii="Arial" w:hAnsi="Arial"/>
          <w:b w:val="false"/>
          <w:i/>
          <w:caps w:val="false"/>
          <w:smallCaps w:val="false"/>
          <w:strike w:val="false"/>
          <w:dstrike w:val="false"/>
          <w:color w:val="000000"/>
          <w:sz w:val="24"/>
          <w:u w:val="none"/>
          <w:effect w:val="none"/>
          <w:shd w:fill="auto" w:val="clear"/>
        </w:rPr>
        <w:t xml:space="preserve">Aedes aegypti </w:t>
      </w:r>
      <w:r>
        <w:rPr>
          <w:rFonts w:ascii="Arial" w:hAnsi="Arial"/>
          <w:b w:val="false"/>
          <w:i w:val="false"/>
          <w:caps w:val="false"/>
          <w:smallCaps w:val="false"/>
          <w:strike w:val="false"/>
          <w:dstrike w:val="false"/>
          <w:color w:val="000000"/>
          <w:sz w:val="24"/>
          <w:u w:val="none"/>
          <w:effect w:val="none"/>
          <w:shd w:fill="auto" w:val="clear"/>
        </w:rPr>
        <w:t xml:space="preserve">(mosquito que puede transmitir dengue). Durante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el</w:t>
      </w:r>
      <w:r>
        <w:rPr>
          <w:rFonts w:ascii="Arial" w:hAnsi="Arial"/>
          <w:b w:val="false"/>
          <w:i w:val="false"/>
          <w:caps w:val="false"/>
          <w:smallCaps w:val="false"/>
          <w:strike w:val="false"/>
          <w:dstrike w:val="false"/>
          <w:color w:val="000000"/>
          <w:sz w:val="24"/>
          <w:u w:val="none"/>
          <w:effect w:val="none"/>
          <w:shd w:fill="auto" w:val="clear"/>
        </w:rPr>
        <w:t xml:space="preserve"> </w:t>
      </w:r>
      <w:r>
        <w:rPr>
          <w:rFonts w:eastAsia="Arial Unicode MS" w:cs="Times New Roman" w:ascii="Arial" w:hAnsi="Arial"/>
          <w:b w:val="false"/>
          <w:i w:val="false"/>
          <w:caps w:val="false"/>
          <w:smallCaps w:val="false"/>
          <w:strike w:val="false"/>
          <w:dstrike w:val="false"/>
          <w:color w:val="000000"/>
          <w:sz w:val="24"/>
          <w:u w:val="none"/>
          <w:effect w:val="none"/>
          <w:shd w:fill="auto" w:val="clear"/>
          <w:lang w:bidi="ar-SA"/>
        </w:rPr>
        <w:t>año 2024,</w:t>
      </w:r>
      <w:r>
        <w:rPr>
          <w:rFonts w:ascii="Arial" w:hAnsi="Arial"/>
          <w:b w:val="false"/>
          <w:i w:val="false"/>
          <w:caps w:val="false"/>
          <w:smallCaps w:val="false"/>
          <w:strike w:val="false"/>
          <w:dstrike w:val="false"/>
          <w:color w:val="000000"/>
          <w:sz w:val="24"/>
          <w:u w:val="none"/>
          <w:effect w:val="none"/>
          <w:shd w:fill="auto" w:val="clear"/>
        </w:rPr>
        <w:t xml:space="preserve"> se tienen los siguientes resultados:</w:t>
      </w:r>
    </w:p>
    <w:tbl>
      <w:tblPr>
        <w:tblW w:w="9360" w:type="dxa"/>
        <w:jc w:val="left"/>
        <w:tblInd w:w="-5" w:type="dxa"/>
        <w:tblLayout w:type="fixed"/>
        <w:tblCellMar>
          <w:top w:w="28" w:type="dxa"/>
          <w:left w:w="98" w:type="dxa"/>
          <w:bottom w:w="28" w:type="dxa"/>
          <w:right w:w="108" w:type="dxa"/>
        </w:tblCellMar>
      </w:tblPr>
      <w:tblGrid>
        <w:gridCol w:w="2265"/>
        <w:gridCol w:w="3239"/>
        <w:gridCol w:w="1861"/>
        <w:gridCol w:w="1994"/>
      </w:tblGrid>
      <w:tr>
        <w:trPr>
          <w:tblHeader w:val="true"/>
          <w:trHeight w:val="659" w:hRule="atLeast"/>
        </w:trPr>
        <w:tc>
          <w:tcPr>
            <w:tcW w:w="226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3239"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861"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994"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22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70 - 73A KR 1D - 7</w:t>
            </w:r>
          </w:p>
        </w:tc>
        <w:tc>
          <w:tcPr>
            <w:tcW w:w="3239"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bidi w:val="0"/>
              <w:spacing w:lineRule="auto" w:line="240"/>
              <w:jc w:val="both"/>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Quintas De Salomia- Tejares – Jorge Eliecer Gaitán</w:t>
            </w:r>
          </w:p>
        </w:tc>
        <w:tc>
          <w:tcPr>
            <w:tcW w:w="1861"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Contenidodelatabla"/>
              <w:widowControl w:val="false"/>
              <w:spacing w:lineRule="auto" w:line="240"/>
              <w:jc w:val="center"/>
              <w:rPr>
                <w:rFonts w:ascii="Arial" w:hAnsi="Arial"/>
                <w:b w:val="false"/>
                <w:b w:val="false"/>
                <w:bCs w:val="false"/>
                <w:color w:val="000000"/>
                <w:sz w:val="20"/>
                <w:szCs w:val="20"/>
              </w:rPr>
            </w:pPr>
            <w:r>
              <w:rPr>
                <w:rFonts w:ascii="Arial" w:hAnsi="Arial"/>
                <w:b w:val="false"/>
                <w:bCs w:val="false"/>
                <w:color w:val="000000"/>
                <w:sz w:val="20"/>
                <w:szCs w:val="20"/>
              </w:rPr>
              <w:t>4225</w:t>
            </w:r>
          </w:p>
        </w:tc>
        <w:tc>
          <w:tcPr>
            <w:tcW w:w="1994"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spacing w:lineRule="auto" w:line="240"/>
              <w:jc w:val="center"/>
              <w:rPr>
                <w:rFonts w:ascii="Arial" w:hAnsi="Arial" w:eastAsia="Arial Unicode MS" w:cs="Times New Roman"/>
                <w:b w:val="false"/>
                <w:b w:val="false"/>
                <w:bCs w:val="false"/>
                <w:i w:val="false"/>
                <w:i w:val="false"/>
                <w:strike w:val="false"/>
                <w:dstrike w:val="false"/>
                <w:outline w:val="false"/>
                <w:shadow w:val="false"/>
                <w:color w:val="000000"/>
                <w:kern w:val="2"/>
                <w:sz w:val="20"/>
                <w:szCs w:val="20"/>
                <w:u w:val="none"/>
                <w:em w:val="none"/>
                <w:lang w:val="es-CO" w:eastAsia="ar-SA" w:bidi="ar-SA"/>
              </w:rPr>
            </w:pPr>
            <w:r>
              <w:rPr>
                <w:rFonts w:eastAsia="Arial Unicode MS" w:cs="Times New Roman" w:ascii="Arial" w:hAnsi="Arial"/>
                <w:b w:val="false"/>
                <w:bCs w:val="false"/>
                <w:i w:val="false"/>
                <w:strike w:val="false"/>
                <w:dstrike w:val="false"/>
                <w:outline w:val="false"/>
                <w:shadow w:val="false"/>
                <w:color w:val="000000"/>
                <w:kern w:val="2"/>
                <w:sz w:val="20"/>
                <w:szCs w:val="20"/>
                <w:u w:val="none"/>
                <w:em w:val="none"/>
                <w:lang w:val="es-CO" w:eastAsia="ar-SA" w:bidi="ar-SA"/>
              </w:rPr>
              <w:t>6652</w:t>
            </w:r>
          </w:p>
        </w:tc>
      </w:tr>
    </w:tbl>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
    </w:p>
    <w:p>
      <w:pPr>
        <w:pStyle w:val="Cuerpodetexto"/>
        <w:bidi w:val="0"/>
        <w:spacing w:lineRule="auto" w:line="240" w:before="0" w:after="0"/>
        <w:jc w:val="both"/>
        <w:rPr>
          <w:rFonts w:ascii="Arial;sans-serif" w:hAnsi="Arial;sans-serif"/>
          <w:b w:val="false"/>
          <w:b w:val="false"/>
          <w:i w:val="false"/>
          <w:i w:val="false"/>
          <w:caps w:val="false"/>
          <w:smallCaps w:val="false"/>
          <w:strike w:val="false"/>
          <w:dstrike w:val="false"/>
          <w:color w:val="000000"/>
          <w:sz w:val="24"/>
          <w:u w:val="none"/>
          <w:effect w:val="none"/>
          <w:shd w:fill="FFFFFF" w:val="clear"/>
        </w:rPr>
      </w:pPr>
      <w:r>
        <w:rPr>
          <w:rFonts w:ascii="Arial;sans-serif" w:hAnsi="Arial;sans-serif"/>
          <w:b w:val="false"/>
          <w:i w:val="false"/>
          <w:caps w:val="false"/>
          <w:smallCaps w:val="false"/>
          <w:strike w:val="false"/>
          <w:dstrike w:val="false"/>
          <w:color w:val="000000"/>
          <w:sz w:val="24"/>
          <w:u w:val="none"/>
          <w:effect w:val="none"/>
          <w:shd w:fill="FFFFFF" w:val="clear"/>
        </w:rPr>
        <w:t xml:space="preserve">Para el año actual, en el barrio </w:t>
      </w:r>
      <w:r>
        <w:rPr>
          <w:rFonts w:eastAsia="Arial Unicode MS" w:cs="Times New Roman" w:ascii="Arial;sans-serif" w:hAnsi="Arial;sans-serif"/>
          <w:b w:val="false"/>
          <w:i w:val="false"/>
          <w:caps w:val="false"/>
          <w:smallCaps w:val="false"/>
          <w:strike w:val="false"/>
          <w:dstrike w:val="false"/>
          <w:color w:val="000000"/>
          <w:kern w:val="2"/>
          <w:sz w:val="24"/>
          <w:szCs w:val="24"/>
          <w:u w:val="none"/>
          <w:effect w:val="none"/>
          <w:shd w:fill="FFFFFF" w:val="clear"/>
          <w:lang w:val="es-CO" w:eastAsia="ar-SA" w:bidi="ar-SA"/>
        </w:rPr>
        <w:t>Jorge Eliecer Gaitán</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 – Quintas de Salomia – Tejares de Salomia</w:t>
      </w:r>
      <w:r>
        <w:rPr>
          <w:rFonts w:ascii="Arial;sans-serif" w:hAnsi="Arial;sans-serif"/>
          <w:b w:val="false"/>
          <w:i w:val="false"/>
          <w:caps w:val="false"/>
          <w:smallCaps w:val="false"/>
          <w:strike w:val="false"/>
          <w:dstrike w:val="false"/>
          <w:color w:val="000000"/>
          <w:sz w:val="24"/>
          <w:u w:val="none"/>
          <w:effect w:val="none"/>
          <w:shd w:fill="FFFFFF" w:val="clear"/>
        </w:rPr>
        <w:t xml:space="preserve">, esta </w:t>
      </w:r>
      <w:r>
        <w:rPr>
          <w:rFonts w:eastAsia="Arial Unicode MS" w:cs="Times New Roman" w:ascii="Arial;sans-serif" w:hAnsi="Arial;sans-serif"/>
          <w:b w:val="false"/>
          <w:i w:val="false"/>
          <w:caps w:val="false"/>
          <w:smallCaps w:val="false"/>
          <w:strike w:val="false"/>
          <w:dstrike w:val="false"/>
          <w:color w:val="000000"/>
          <w:kern w:val="2"/>
          <w:sz w:val="24"/>
          <w:szCs w:val="24"/>
          <w:u w:val="none"/>
          <w:effect w:val="none"/>
          <w:shd w:fill="FFFFFF" w:val="clear"/>
          <w:lang w:val="es-CO" w:eastAsia="ar-SA" w:bidi="ar-SA"/>
        </w:rPr>
        <w:t>programado para el día miércoles 12 de febrero de 2025 ( la programación se puede ver modificada por lluvias).</w:t>
      </w:r>
    </w:p>
    <w:p>
      <w:pPr>
        <w:pStyle w:val="Cuerpodetexto"/>
        <w:bidi w:val="0"/>
        <w:spacing w:lineRule="auto" w:line="240" w:before="0" w:after="0"/>
        <w:jc w:val="both"/>
        <w:rPr>
          <w:rFonts w:ascii="Arial;sans-serif" w:hAnsi="Arial;sans-serif"/>
          <w:b w:val="false"/>
          <w:b w:val="false"/>
          <w:i w:val="false"/>
          <w:i w:val="false"/>
          <w:caps w:val="false"/>
          <w:smallCaps w:val="false"/>
          <w:strike w:val="false"/>
          <w:dstrike w:val="false"/>
          <w:color w:val="000000"/>
          <w:sz w:val="24"/>
          <w:u w:val="none"/>
          <w:effect w:val="none"/>
          <w:shd w:fill="FFFFFF" w:val="clear"/>
        </w:rPr>
      </w:pPr>
      <w:r>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A su vez se realiz</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ó</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intervención en los lugares de concentración humana puesto que albergan alta densidad poblacional (permanente o en tránsito) y, por lo tanto, presentan una mayor probabilidad de transmisión de las ETV. En el 2024 se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realizaron</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68 visitas de control larvario a Centros Docentes o Educativos, Centros de Recreación, Entidades de Gobierno, Escuelas Saludables, Estaciones de Policía, Hogares de Bienestar Familiar, Hogares Geriátricos, Instituciones de Salud, Instituciones Religiosas, Jardines Infantiles, Otras Instituciones, Parqueaderos, Talleres, Unidades Residenciales, Viveros, Vulcanizadoras</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 xml:space="preserve"> de la comuna 6</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Los resultados muestran que en 5 ocasiones se encontraron positivas, es decir, con criaderos del vector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Escuelas Saludables (1), Instituciones Religiosas (3), y Otras Instituciones (1).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auto"/>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También, se realizaron visitas de control larvario a viviendas en la comuna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6</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donde los resultados mostraron que el 6,57% de las viviendas visitadas se encontraron positivas, es decir, casi 7 de cada 100 viviendas visitadas tuvieron al menos un criaderos de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Teniendo en cuenta lo anterior,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1. Inspeccionar semanalmente las viviendas para eliminar depósitos con agua,  donde se pueda criar el vector.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2. Lavar y cepillar tanques cada 8 días para eliminar los huevos del mosquito de las  paredes.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3. Cambiar frecuentemente el agua de los bebederos de animales. 4. Sembrar las plantas en tierra y evitar tenerlas en agua.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Con lo anterior se da respuesta  a su solicitud, no obstante, estaremos atentos en caso de requerir información adicional.</w:t>
      </w:r>
    </w:p>
    <w:p>
      <w:pPr>
        <w:pStyle w:val="LOnormal"/>
        <w:spacing w:lineRule="auto" w:line="240"/>
        <w:ind w:left="0" w:right="0" w:hanging="0"/>
        <w:jc w:val="both"/>
        <w:rPr>
          <w:rFonts w:ascii="Arial" w:hAnsi="Arial" w:cs="Arial"/>
        </w:rPr>
      </w:pPr>
      <w:r>
        <w:rPr>
          <w:rFonts w:cs="Arial" w:ascii="Arial" w:hAnsi="Arial"/>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pacing w:beforeAutospacing="0" w:before="0" w:after="0"/>
        <w:rPr>
          <w:rFonts w:ascii="Arial" w:hAnsi="Arial" w:cs="Arial"/>
          <w:sz w:val="16"/>
          <w:szCs w:val="16"/>
          <w:lang w:val="es-ES"/>
        </w:rPr>
      </w:pPr>
      <w:r>
        <w:rPr>
          <w:rFonts w:cs="Arial" w:ascii="Arial" w:hAnsi="Arial"/>
          <w:sz w:val="16"/>
          <w:szCs w:val="16"/>
          <w:lang w:val="es-ES"/>
        </w:rPr>
      </w:r>
    </w:p>
    <w:p>
      <w:pPr>
        <w:pStyle w:val="NormalWeb"/>
        <w:spacing w:beforeAutospacing="0" w:before="0" w:after="0"/>
        <w:rPr>
          <w:rFonts w:ascii="Arial" w:hAnsi="Arial" w:cs="Arial"/>
          <w:sz w:val="16"/>
          <w:szCs w:val="16"/>
          <w:lang w:val="es-ES"/>
        </w:rPr>
      </w:pPr>
      <w:r>
        <w:rPr/>
      </w:r>
    </w:p>
    <w:p>
      <w:pPr>
        <w:pStyle w:val="NormalWeb"/>
        <w:spacing w:beforeAutospacing="0" w:before="0" w:after="0"/>
        <w:rPr/>
      </w:pPr>
      <w:r>
        <w:rPr>
          <w:rFonts w:cs="Arial" w:ascii="Arial" w:hAnsi="Arial"/>
          <w:sz w:val="16"/>
          <w:szCs w:val="16"/>
          <w:lang w:val="es-ES"/>
        </w:rPr>
        <w:t xml:space="preserve">Proyectó: </w:t>
      </w:r>
      <w:r>
        <w:rPr>
          <w:rFonts w:eastAsia="Times New Roman" w:cs="Arial" w:ascii="Arial" w:hAnsi="Arial"/>
          <w:color w:val="auto"/>
          <w:kern w:val="0"/>
          <w:sz w:val="16"/>
          <w:szCs w:val="16"/>
          <w:lang w:val="es-ES" w:eastAsia="es-CO" w:bidi="ar-SA"/>
        </w:rPr>
        <w:t xml:space="preserve">Clara Inés Solis Sandoval – Contratista </w:t>
      </w:r>
    </w:p>
    <w:p>
      <w:pPr>
        <w:pStyle w:val="NormalWeb"/>
        <w:spacing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 xml:space="preserve">Dahiana Quintero Echeverry – Contratista </w:t>
      </w:r>
    </w:p>
    <w:p>
      <w:pPr>
        <w:pStyle w:val="NormalWeb"/>
        <w:suppressAutoHyphens w:val="true"/>
        <w:spacing w:beforeAutospacing="0" w:before="109" w:after="0"/>
        <w:jc w:val="both"/>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109" w:after="0"/>
        <w:jc w:val="both"/>
        <w:rPr/>
      </w:pPr>
      <w:hyperlink r:id="rId3">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109"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15">
            <wp:simplePos x="0" y="0"/>
            <wp:positionH relativeFrom="column">
              <wp:posOffset>75565</wp:posOffset>
            </wp:positionH>
            <wp:positionV relativeFrom="paragraph">
              <wp:posOffset>80645</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p>
    <w:p>
      <w:pPr>
        <w:pStyle w:val="NormalWeb"/>
        <w:suppressAutoHyphens w:val="true"/>
        <w:spacing w:beforeAutospacing="0" w:before="280" w:after="0"/>
        <w:jc w:val="both"/>
        <w:rPr>
          <w:rFonts w:ascii="Arial" w:hAnsi="Arial" w:cs="Arial"/>
        </w:rPr>
      </w:pPr>
      <w:r>
        <w:rPr/>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Arial">
    <w:altName w:val="sans-serif"/>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6350</wp:posOffset>
              </wp:positionH>
              <wp:positionV relativeFrom="paragraph">
                <wp:posOffset>7264400</wp:posOffset>
              </wp:positionV>
              <wp:extent cx="1044575" cy="698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4000" cy="648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5pt;height:0.4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1">
              <wp:simplePos x="0" y="0"/>
              <wp:positionH relativeFrom="margin">
                <wp:posOffset>3402965</wp:posOffset>
              </wp:positionH>
              <wp:positionV relativeFrom="paragraph">
                <wp:posOffset>33020</wp:posOffset>
              </wp:positionV>
              <wp:extent cx="2531745" cy="1022985"/>
              <wp:effectExtent l="0" t="0" r="0" b="0"/>
              <wp:wrapSquare wrapText="bothSides"/>
              <wp:docPr id="3" name="Marco2"/>
              <a:graphic xmlns:a="http://schemas.openxmlformats.org/drawingml/2006/main">
                <a:graphicData uri="http://schemas.microsoft.com/office/word/2010/wordprocessingShape">
                  <wps:wsp>
                    <wps:cNvSpPr/>
                    <wps:spPr>
                      <a:xfrm>
                        <a:off x="0" y="0"/>
                        <a:ext cx="2531160" cy="102240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*202541450200008681*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202541450200008681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2025-02-10</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4145.020.13.1.953.000868</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202541730100177632</w:t>
                          </w:r>
                        </w:p>
                      </w:txbxContent>
                    </wps:txbx>
                    <wps:bodyPr lIns="0" rIns="0" tIns="0" bIns="0">
                      <a:noAutofit/>
                    </wps:bodyPr>
                  </wps:wsp>
                </a:graphicData>
              </a:graphic>
            </wp:anchor>
          </w:drawing>
        </mc:Choice>
        <mc:Fallback>
          <w:pict>
            <v:rect id="shape_0" ID="Marco2" fillcolor="white" stroked="f" style="position:absolute;margin-left:267.95pt;margin-top:2.6pt;width:199.25pt;height:80.4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*202541450200008681*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202541450200008681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2025-02-10</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4145.020.13.1.953.000868</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202541730100177632</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Application>LibreOffice/7.0.3.1$Windows_X86_64 LibreOffice_project/d7547858d014d4cf69878db179d326fc3483e082</Application>
  <Pages>3</Pages>
  <Words>979</Words>
  <Characters>5518</Characters>
  <CharactersWithSpaces>6501</CharactersWithSpaces>
  <Paragraphs>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2025-02-11T11:59:11Z</dcterms:modified>
  <cp:revision>46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